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04642" w:rsidRDefault="00000000">
      <w:pPr>
        <w:widowControl/>
        <w:shd w:val="clear" w:color="auto" w:fill="FDFDFE"/>
        <w:spacing w:line="21" w:lineRule="atLeast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在“干净跑道”上奔跑</w:t>
      </w:r>
    </w:p>
    <w:p w:rsidR="00E04642" w:rsidRDefault="00000000">
      <w:pPr>
        <w:widowControl/>
        <w:shd w:val="clear" w:color="auto" w:fill="FDFDFE"/>
        <w:spacing w:line="21" w:lineRule="atLeas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——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写给跑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友的一封信：反兴奋剂知识普及与安全用药提醒</w:t>
      </w:r>
    </w:p>
    <w:p w:rsidR="00E04642" w:rsidRDefault="00E04642">
      <w:pPr>
        <w:widowControl/>
        <w:shd w:val="clear" w:color="auto" w:fill="FDFDFE"/>
        <w:spacing w:line="21" w:lineRule="atLeast"/>
        <w:rPr>
          <w:rFonts w:ascii="仿宋" w:eastAsia="仿宋" w:hAnsi="仿宋" w:cs="仿宋" w:hint="eastAsia"/>
          <w:sz w:val="32"/>
          <w:szCs w:val="32"/>
        </w:rPr>
      </w:pPr>
    </w:p>
    <w:p w:rsidR="00E04642" w:rsidRDefault="00000000">
      <w:pPr>
        <w:widowControl/>
        <w:shd w:val="clear" w:color="auto" w:fill="FDFDFE"/>
        <w:spacing w:before="168" w:line="21" w:lineRule="atLeast"/>
        <w:rPr>
          <w:rFonts w:ascii="仿宋" w:eastAsia="仿宋" w:hAnsi="仿宋" w:cs="仿宋" w:hint="eastAsia"/>
          <w:color w:val="05073B"/>
          <w:sz w:val="32"/>
          <w:szCs w:val="32"/>
        </w:rPr>
      </w:pPr>
      <w:r>
        <w:rPr>
          <w:rFonts w:ascii="仿宋" w:eastAsia="仿宋" w:hAnsi="仿宋" w:cs="仿宋" w:hint="eastAsia"/>
          <w:color w:val="05073B"/>
          <w:sz w:val="32"/>
          <w:szCs w:val="32"/>
          <w:shd w:val="clear" w:color="auto" w:fill="FDFDFE"/>
        </w:rPr>
        <w:t>亲爱的跑者朋友：</w:t>
      </w:r>
    </w:p>
    <w:p w:rsidR="00E04642" w:rsidRDefault="00000000">
      <w:pPr>
        <w:widowControl/>
        <w:shd w:val="clear" w:color="auto" w:fill="FDFDFE"/>
        <w:spacing w:before="168" w:line="21" w:lineRule="atLeast"/>
        <w:ind w:firstLineChars="200" w:firstLine="640"/>
        <w:rPr>
          <w:rFonts w:ascii="仿宋" w:eastAsia="仿宋" w:hAnsi="仿宋" w:cs="仿宋" w:hint="eastAsia"/>
          <w:color w:val="05073B"/>
          <w:sz w:val="32"/>
          <w:szCs w:val="32"/>
          <w:shd w:val="clear" w:color="auto" w:fill="FDFDFE"/>
        </w:rPr>
      </w:pPr>
      <w:r>
        <w:rPr>
          <w:rFonts w:ascii="仿宋" w:eastAsia="仿宋" w:hAnsi="仿宋" w:cs="仿宋" w:hint="eastAsia"/>
          <w:color w:val="05073B"/>
          <w:sz w:val="32"/>
          <w:szCs w:val="32"/>
          <w:shd w:val="clear" w:color="auto" w:fill="FDFDFE"/>
        </w:rPr>
        <w:t>近年来，马拉松和</w:t>
      </w:r>
      <w:proofErr w:type="gramStart"/>
      <w:r>
        <w:rPr>
          <w:rFonts w:ascii="仿宋" w:eastAsia="仿宋" w:hAnsi="仿宋" w:cs="仿宋" w:hint="eastAsia"/>
          <w:color w:val="05073B"/>
          <w:sz w:val="32"/>
          <w:szCs w:val="32"/>
          <w:shd w:val="clear" w:color="auto" w:fill="FDFDFE"/>
        </w:rPr>
        <w:t>相关路跑运动</w:t>
      </w:r>
      <w:proofErr w:type="gramEnd"/>
      <w:r>
        <w:rPr>
          <w:rFonts w:ascii="仿宋" w:eastAsia="仿宋" w:hAnsi="仿宋" w:cs="仿宋" w:hint="eastAsia"/>
          <w:color w:val="05073B"/>
          <w:sz w:val="32"/>
          <w:szCs w:val="32"/>
          <w:shd w:val="clear" w:color="auto" w:fill="FDFDFE"/>
        </w:rPr>
        <w:t>在我国蓬勃发展，越来越多的人加入到这项充满挑战与激情的运动中来。无论是业余爱好者还是专业运动员，大家都在赛道上奋力奔跑，追求更好的成绩。然而，在这个充满激情的赛场上，我们也看到了一些令人担忧的现象——部分运动员因缺乏反兴奋剂知识，发生了故意或无意的兴奋剂违规，给自己的生活带来了不必要的麻烦，还可能因此受到禁赛和经济处罚，影响了自己的运动生涯和声誉。</w:t>
      </w:r>
    </w:p>
    <w:p w:rsidR="00E04642" w:rsidRDefault="00000000">
      <w:pPr>
        <w:widowControl/>
        <w:shd w:val="clear" w:color="auto" w:fill="FDFDFE"/>
        <w:spacing w:before="168" w:line="21" w:lineRule="atLeast"/>
        <w:ind w:firstLineChars="200" w:firstLine="640"/>
        <w:rPr>
          <w:rFonts w:ascii="仿宋" w:eastAsia="仿宋" w:hAnsi="仿宋" w:cs="仿宋" w:hint="eastAsia"/>
          <w:color w:val="05073B"/>
          <w:sz w:val="32"/>
          <w:szCs w:val="32"/>
        </w:rPr>
      </w:pPr>
      <w:r>
        <w:rPr>
          <w:rFonts w:ascii="仿宋" w:eastAsia="仿宋" w:hAnsi="仿宋" w:cs="仿宋" w:hint="eastAsia"/>
          <w:color w:val="05073B"/>
          <w:sz w:val="32"/>
          <w:szCs w:val="32"/>
        </w:rPr>
        <w:t>因此，我们想给你一些建议和提醒，帮助你更好地了解反兴奋剂知识，确保你的运动安全：</w:t>
      </w:r>
    </w:p>
    <w:p w:rsidR="00E04642" w:rsidRDefault="00000000">
      <w:pPr>
        <w:widowControl/>
        <w:spacing w:line="21" w:lineRule="atLeast"/>
        <w:ind w:firstLineChars="200" w:firstLine="643"/>
        <w:rPr>
          <w:rFonts w:ascii="仿宋" w:eastAsia="仿宋" w:hAnsi="仿宋" w:cs="仿宋" w:hint="eastAsia"/>
          <w:color w:val="05073B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1.了解并遵守反兴奋剂规则</w:t>
      </w:r>
      <w:r>
        <w:rPr>
          <w:rFonts w:ascii="仿宋" w:eastAsia="仿宋" w:hAnsi="仿宋" w:cs="仿宋" w:hint="eastAsia"/>
          <w:b/>
          <w:bCs/>
          <w:color w:val="05073B"/>
          <w:sz w:val="32"/>
          <w:szCs w:val="32"/>
        </w:rPr>
        <w:t>：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“兴奋剂”是指世界反兴奋剂机构（WADA）每年发布的《禁用清单》（Prohibited List）中所包含的禁用物质和禁用方法的统称。反兴奋剂组织有权对所有参加体育比赛的运动员适用反兴奋剂规则。确保没有禁用物质进入自己体内和不使用禁用方法，是运动员的个人责任。故意或疏忽导致兴奋剂违规都会受到相应的处罚，持有和买卖兴奋剂等11种行为构成兴奋剂违规。</w:t>
      </w:r>
    </w:p>
    <w:p w:rsidR="00CB1E5C" w:rsidRDefault="00CB1E5C">
      <w:pPr>
        <w:widowControl/>
        <w:spacing w:line="21" w:lineRule="atLeast"/>
        <w:ind w:firstLineChars="200" w:firstLine="640"/>
        <w:rPr>
          <w:rFonts w:ascii="仿宋" w:eastAsia="仿宋" w:hAnsi="仿宋" w:cs="仿宋" w:hint="eastAsia"/>
          <w:color w:val="05073B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5073B"/>
          <w:sz w:val="32"/>
          <w:szCs w:val="32"/>
        </w:rPr>
        <w:lastRenderedPageBreak/>
        <w:drawing>
          <wp:inline distT="0" distB="0" distL="0" distR="0">
            <wp:extent cx="5274310" cy="7910830"/>
            <wp:effectExtent l="0" t="0" r="2540" b="0"/>
            <wp:docPr id="297742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42295" name="图片 2977422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E5C" w:rsidRDefault="00CB1E5C">
      <w:pPr>
        <w:widowControl/>
        <w:spacing w:line="21" w:lineRule="atLeast"/>
        <w:ind w:firstLineChars="200" w:firstLine="640"/>
        <w:rPr>
          <w:rFonts w:ascii="仿宋" w:eastAsia="仿宋" w:hAnsi="仿宋" w:cs="仿宋" w:hint="eastAsia"/>
          <w:color w:val="05073B"/>
          <w:sz w:val="32"/>
          <w:szCs w:val="32"/>
        </w:rPr>
      </w:pPr>
    </w:p>
    <w:p w:rsidR="00CB1E5C" w:rsidRDefault="00000000" w:rsidP="00CB1E5C">
      <w:pPr>
        <w:widowControl/>
        <w:spacing w:line="21" w:lineRule="atLeast"/>
        <w:ind w:firstLineChars="200" w:firstLine="643"/>
        <w:rPr>
          <w:rFonts w:ascii="仿宋" w:eastAsia="仿宋" w:hAnsi="仿宋" w:cs="仿宋" w:hint="eastAsia"/>
          <w:color w:val="05073B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2.注意用药安全</w:t>
      </w:r>
      <w:r>
        <w:rPr>
          <w:rFonts w:ascii="仿宋" w:eastAsia="仿宋" w:hAnsi="仿宋" w:cs="仿宋" w:hint="eastAsia"/>
          <w:b/>
          <w:bCs/>
          <w:color w:val="05073B"/>
          <w:sz w:val="32"/>
          <w:szCs w:val="32"/>
        </w:rPr>
        <w:t>：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无论是</w:t>
      </w:r>
      <w:r>
        <w:rPr>
          <w:rFonts w:ascii="仿宋" w:eastAsia="仿宋" w:hAnsi="仿宋" w:cs="仿宋" w:hint="eastAsia"/>
          <w:sz w:val="32"/>
          <w:szCs w:val="32"/>
        </w:rPr>
        <w:t>西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药还是</w:t>
      </w:r>
      <w:r>
        <w:rPr>
          <w:rFonts w:ascii="仿宋" w:eastAsia="仿宋" w:hAnsi="仿宋" w:cs="仿宋" w:hint="eastAsia"/>
          <w:sz w:val="32"/>
          <w:szCs w:val="32"/>
        </w:rPr>
        <w:t>中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药，都有可能含有《禁用清单》中列明的禁用物质。如果生病需要就医，应向医生表明自己的运动员身份。日常用药要查看药品说明书或标签中有无“运动员慎用”</w:t>
      </w:r>
      <w:r>
        <w:rPr>
          <w:rFonts w:ascii="仿宋" w:eastAsia="仿宋" w:hAnsi="仿宋" w:cs="仿宋" w:hint="eastAsia"/>
          <w:sz w:val="32"/>
          <w:szCs w:val="32"/>
        </w:rPr>
        <w:t>提示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，同时还应在“运动员安全用药查询系统”查询确认。如</w:t>
      </w:r>
      <w:r>
        <w:rPr>
          <w:rFonts w:ascii="仿宋" w:eastAsia="仿宋" w:hAnsi="仿宋" w:cs="仿宋" w:hint="eastAsia"/>
          <w:sz w:val="32"/>
          <w:szCs w:val="32"/>
        </w:rPr>
        <w:t>因治疗需求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使用</w:t>
      </w:r>
      <w:r>
        <w:rPr>
          <w:rFonts w:ascii="仿宋" w:eastAsia="仿宋" w:hAnsi="仿宋" w:cs="仿宋" w:hint="eastAsia"/>
          <w:sz w:val="32"/>
          <w:szCs w:val="32"/>
        </w:rPr>
        <w:t>禁用物质和方法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，应</w:t>
      </w:r>
      <w:r>
        <w:rPr>
          <w:rFonts w:ascii="仿宋" w:eastAsia="仿宋" w:hAnsi="仿宋" w:cs="仿宋" w:hint="eastAsia"/>
          <w:sz w:val="32"/>
          <w:szCs w:val="32"/>
        </w:rPr>
        <w:t>按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“治疗用药豁免”</w:t>
      </w:r>
      <w:r>
        <w:rPr>
          <w:rFonts w:ascii="仿宋" w:eastAsia="仿宋" w:hAnsi="仿宋" w:cs="仿宋" w:hint="eastAsia"/>
          <w:sz w:val="32"/>
          <w:szCs w:val="32"/>
        </w:rPr>
        <w:t>程序申请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。</w:t>
      </w:r>
      <w:r>
        <w:rPr>
          <w:rFonts w:ascii="仿宋" w:eastAsia="仿宋" w:hAnsi="仿宋" w:cs="仿宋" w:hint="eastAsia"/>
          <w:sz w:val="32"/>
          <w:szCs w:val="32"/>
        </w:rPr>
        <w:t>参赛之前应重点核查近期用药安全情况，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在接受兴奋剂检查时应在检查单上如实填写药品名称。</w:t>
      </w:r>
    </w:p>
    <w:p w:rsidR="00CB1E5C" w:rsidRDefault="00CB1E5C" w:rsidP="00CB1E5C">
      <w:pPr>
        <w:widowControl/>
        <w:spacing w:line="21" w:lineRule="atLeast"/>
        <w:ind w:firstLineChars="200" w:firstLine="640"/>
        <w:rPr>
          <w:rFonts w:ascii="仿宋" w:eastAsia="仿宋" w:hAnsi="仿宋" w:cs="仿宋" w:hint="eastAsia"/>
          <w:color w:val="05073B"/>
          <w:sz w:val="32"/>
          <w:szCs w:val="32"/>
        </w:rPr>
      </w:pPr>
      <w:r>
        <w:rPr>
          <w:rFonts w:ascii="仿宋" w:eastAsia="仿宋" w:hAnsi="仿宋" w:cs="仿宋" w:hint="eastAsia"/>
          <w:noProof/>
          <w:color w:val="05073B"/>
          <w:sz w:val="32"/>
          <w:szCs w:val="32"/>
        </w:rPr>
        <w:lastRenderedPageBreak/>
        <w:drawing>
          <wp:inline distT="0" distB="0" distL="0" distR="0">
            <wp:extent cx="5274310" cy="7910830"/>
            <wp:effectExtent l="0" t="0" r="2540" b="0"/>
            <wp:docPr id="732764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6476" name="图片 732764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E5C" w:rsidRPr="00CB1E5C" w:rsidRDefault="00CB1E5C" w:rsidP="00CB1E5C">
      <w:pPr>
        <w:widowControl/>
        <w:spacing w:line="21" w:lineRule="atLeast"/>
        <w:ind w:firstLineChars="200" w:firstLine="640"/>
        <w:rPr>
          <w:rFonts w:ascii="仿宋" w:eastAsia="仿宋" w:hAnsi="仿宋" w:cs="仿宋" w:hint="eastAsia"/>
          <w:color w:val="05073B"/>
          <w:sz w:val="32"/>
          <w:szCs w:val="32"/>
        </w:rPr>
      </w:pPr>
    </w:p>
    <w:p w:rsidR="00E04642" w:rsidRDefault="00000000">
      <w:pPr>
        <w:widowControl/>
        <w:spacing w:line="21" w:lineRule="atLeast"/>
        <w:ind w:firstLineChars="200" w:firstLine="643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3.谨慎选择和使用营养品</w:t>
      </w:r>
      <w:r>
        <w:rPr>
          <w:rFonts w:ascii="仿宋" w:eastAsia="仿宋" w:hAnsi="仿宋" w:cs="仿宋" w:hint="eastAsia"/>
          <w:b/>
          <w:bCs/>
          <w:color w:val="05073B"/>
          <w:sz w:val="32"/>
          <w:szCs w:val="32"/>
        </w:rPr>
        <w:t>：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使用营养品有风险，没有任何一个机构可以确保任</w:t>
      </w:r>
      <w:proofErr w:type="gramStart"/>
      <w:r>
        <w:rPr>
          <w:rFonts w:ascii="仿宋" w:eastAsia="仿宋" w:hAnsi="仿宋" w:cs="仿宋" w:hint="eastAsia"/>
          <w:color w:val="05073B"/>
          <w:sz w:val="32"/>
          <w:szCs w:val="32"/>
        </w:rPr>
        <w:t>一</w:t>
      </w:r>
      <w:proofErr w:type="gramEnd"/>
      <w:r>
        <w:rPr>
          <w:rFonts w:ascii="仿宋" w:eastAsia="仿宋" w:hAnsi="仿宋" w:cs="仿宋" w:hint="eastAsia"/>
          <w:color w:val="05073B"/>
          <w:sz w:val="32"/>
          <w:szCs w:val="32"/>
        </w:rPr>
        <w:t>营养品是百分之百的安全。如果确需使用营养品，请在购买时向商家索要经中国反兴奋剂中心实验室检测的合格证书。</w:t>
      </w:r>
      <w:r>
        <w:rPr>
          <w:rFonts w:ascii="仿宋" w:eastAsia="仿宋" w:hAnsi="仿宋" w:cs="仿宋" w:hint="eastAsia"/>
          <w:color w:val="05073B"/>
          <w:sz w:val="32"/>
          <w:szCs w:val="32"/>
          <w:shd w:val="clear" w:color="auto" w:fill="FDFDFE"/>
        </w:rPr>
        <w:t>避免购买和使用来源不明或含有违禁成分的营养品</w:t>
      </w:r>
      <w:r>
        <w:rPr>
          <w:rFonts w:ascii="仿宋" w:eastAsia="仿宋" w:hAnsi="仿宋" w:cs="仿宋" w:hint="eastAsia"/>
          <w:sz w:val="32"/>
          <w:szCs w:val="32"/>
        </w:rPr>
        <w:t>，不要轻信一些商家或个人宣传某些营养品的特殊功效。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在接受兴奋剂检查时应在检查单上如实填写营养品名称。</w:t>
      </w:r>
      <w:r>
        <w:rPr>
          <w:rFonts w:ascii="仿宋" w:eastAsia="仿宋" w:hAnsi="仿宋" w:cs="仿宋" w:hint="eastAsia"/>
          <w:sz w:val="32"/>
          <w:szCs w:val="32"/>
        </w:rPr>
        <w:t>参赛前优先食用鱼类、海鲜、蛋等食物，并保留相关凭证，防范食源性兴奋剂风险。</w:t>
      </w:r>
    </w:p>
    <w:p w:rsidR="00E04642" w:rsidRDefault="00000000">
      <w:pPr>
        <w:widowControl/>
        <w:spacing w:line="21" w:lineRule="atLeast"/>
        <w:ind w:firstLineChars="200" w:firstLine="643"/>
        <w:rPr>
          <w:rFonts w:ascii="仿宋" w:eastAsia="仿宋" w:hAnsi="仿宋" w:cs="仿宋" w:hint="eastAsia"/>
          <w:color w:val="05073B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5073B"/>
          <w:sz w:val="32"/>
          <w:szCs w:val="32"/>
        </w:rPr>
        <w:t>4.积极配合兴奋剂检查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和调查</w:t>
      </w:r>
      <w:r>
        <w:rPr>
          <w:rFonts w:ascii="仿宋" w:eastAsia="仿宋" w:hAnsi="仿宋" w:cs="仿宋" w:hint="eastAsia"/>
          <w:b/>
          <w:bCs/>
          <w:color w:val="05073B"/>
          <w:sz w:val="32"/>
          <w:szCs w:val="32"/>
        </w:rPr>
        <w:t>：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高水平大众运动员可能会在赛后要求接受兴奋剂检查，请相关运动员积极配合完成样本采集，拒绝、逃避或未完成样本采集可能会被判定兴奋剂违规。</w:t>
      </w:r>
      <w:r>
        <w:rPr>
          <w:rFonts w:ascii="仿宋" w:eastAsia="仿宋" w:hAnsi="仿宋" w:cs="仿宋" w:hint="eastAsia"/>
          <w:sz w:val="32"/>
          <w:szCs w:val="32"/>
        </w:rPr>
        <w:t>如果发生检测阳性，应积极配合调查，提供证据，说明情况，不得提供虚假材料，否则将会加重处罚。</w:t>
      </w:r>
    </w:p>
    <w:p w:rsidR="00E04642" w:rsidRDefault="00000000">
      <w:pPr>
        <w:widowControl/>
        <w:spacing w:line="21" w:lineRule="atLeast"/>
        <w:ind w:firstLineChars="200" w:firstLine="643"/>
        <w:rPr>
          <w:rFonts w:ascii="仿宋" w:eastAsia="仿宋" w:hAnsi="仿宋" w:cs="仿宋" w:hint="eastAsia"/>
          <w:color w:val="05073B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5.提高自我保护意识</w:t>
      </w:r>
      <w:r>
        <w:rPr>
          <w:rFonts w:ascii="仿宋" w:eastAsia="仿宋" w:hAnsi="仿宋" w:cs="仿宋" w:hint="eastAsia"/>
          <w:b/>
          <w:bCs/>
          <w:color w:val="05073B"/>
          <w:sz w:val="32"/>
          <w:szCs w:val="32"/>
        </w:rPr>
        <w:t>：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t>使用兴奋剂有害身体健康。跑友们在比赛过程中，要时刻关注自己的身体状况，如有不适，应立即停止比赛并寻求专业医疗人员的帮助。切勿为了追求成绩而忽视身体的警告信号。</w:t>
      </w:r>
    </w:p>
    <w:p w:rsidR="00CB1E5C" w:rsidRDefault="00CB1E5C">
      <w:pPr>
        <w:widowControl/>
        <w:spacing w:line="21" w:lineRule="atLeas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910830"/>
            <wp:effectExtent l="0" t="0" r="2540" b="0"/>
            <wp:docPr id="14780902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90242" name="图片 14780902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42" w:rsidRDefault="00000000">
      <w:pPr>
        <w:widowControl/>
        <w:spacing w:before="168" w:line="21" w:lineRule="atLeast"/>
        <w:ind w:firstLineChars="200" w:firstLine="643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6.监督与举报：</w:t>
      </w:r>
      <w:r>
        <w:rPr>
          <w:rFonts w:ascii="仿宋" w:eastAsia="仿宋" w:hAnsi="仿宋" w:cs="仿宋" w:hint="eastAsia"/>
          <w:sz w:val="32"/>
          <w:szCs w:val="32"/>
        </w:rPr>
        <w:t>兴奋剂是体育的毒瘤，兴奋剂问题不但会违反《反兴奋剂规则》，还可能触犯《刑法修正案（十一）》、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《兴奋剂刑事案件适用法律若干问题的司法解释》等，可能会被追究法律责任。如果发现身边人的兴奋剂违规违法行为，可以向中国反兴奋剂中心举报，调查部门会对举报内容进行认真调查和处理，举报者的隐私和安全会被严格保护。</w:t>
      </w:r>
    </w:p>
    <w:p w:rsidR="00CB1E5C" w:rsidRDefault="00CB1E5C">
      <w:pPr>
        <w:widowControl/>
        <w:spacing w:before="168" w:line="21" w:lineRule="atLeas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910830"/>
            <wp:effectExtent l="0" t="0" r="2540" b="0"/>
            <wp:docPr id="9317804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80405" name="图片 9317804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EDB" w:rsidRDefault="00F30EDB">
      <w:pPr>
        <w:widowControl/>
        <w:spacing w:before="168" w:line="21" w:lineRule="atLeas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</w:p>
    <w:p w:rsidR="00E04642" w:rsidRDefault="00000000">
      <w:pPr>
        <w:widowControl/>
        <w:spacing w:before="168" w:line="21" w:lineRule="atLeas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color w:val="05073B"/>
          <w:sz w:val="32"/>
          <w:szCs w:val="32"/>
        </w:rPr>
        <w:lastRenderedPageBreak/>
        <w:t>我们希望每一位跑友都能以健康、公平、诚信的态度参与比赛，享受运动带来的快乐。让我们共同维护一个公平、公正、健康的比赛环境，让真正的英雄在“干净跑道”上闪耀光芒！</w:t>
      </w:r>
    </w:p>
    <w:p w:rsidR="00E04642" w:rsidRDefault="00E04642">
      <w:pPr>
        <w:widowControl/>
        <w:shd w:val="clear" w:color="auto" w:fill="FDFDFE"/>
        <w:spacing w:before="168" w:line="21" w:lineRule="atLeast"/>
        <w:ind w:firstLineChars="200" w:firstLine="640"/>
        <w:rPr>
          <w:rFonts w:ascii="仿宋" w:eastAsia="仿宋" w:hAnsi="仿宋" w:cs="仿宋" w:hint="eastAsia"/>
          <w:color w:val="05073B"/>
          <w:sz w:val="32"/>
          <w:szCs w:val="32"/>
        </w:rPr>
      </w:pPr>
    </w:p>
    <w:p w:rsidR="00E04642" w:rsidRDefault="00000000">
      <w:pPr>
        <w:widowControl/>
        <w:spacing w:before="168" w:line="21" w:lineRule="atLeast"/>
        <w:ind w:leftChars="2280" w:left="4788" w:firstLineChars="100" w:firstLine="32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color w:val="05073B"/>
          <w:sz w:val="32"/>
          <w:szCs w:val="32"/>
        </w:rPr>
        <w:t>中国田径协会</w:t>
      </w:r>
      <w:r>
        <w:rPr>
          <w:rFonts w:ascii="仿宋" w:eastAsia="仿宋" w:hAnsi="仿宋" w:cs="仿宋" w:hint="eastAsia"/>
          <w:color w:val="05073B"/>
          <w:sz w:val="32"/>
          <w:szCs w:val="32"/>
        </w:rPr>
        <w:br/>
        <w:t>2024年3月21日</w:t>
      </w:r>
    </w:p>
    <w:p w:rsidR="00E04642" w:rsidRDefault="00000000">
      <w:pPr>
        <w:widowControl/>
        <w:spacing w:before="168" w:line="21" w:lineRule="atLeas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E04642" w:rsidRDefault="00000000">
      <w:pPr>
        <w:widowControl/>
        <w:spacing w:before="168" w:line="21" w:lineRule="atLeast"/>
        <w:jc w:val="lef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附件：</w:t>
      </w:r>
    </w:p>
    <w:p w:rsidR="00E04642" w:rsidRDefault="00000000">
      <w:pPr>
        <w:jc w:val="center"/>
        <w:rPr>
          <w:rFonts w:ascii="仿宋" w:eastAsia="仿宋" w:hAnsi="仿宋" w:cs="仿宋" w:hint="eastAsia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sz w:val="36"/>
          <w:szCs w:val="36"/>
        </w:rPr>
        <w:t>反兴奋剂教育资源</w:t>
      </w:r>
    </w:p>
    <w:p w:rsidR="00E04642" w:rsidRDefault="00000000">
      <w:pPr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一、中国反兴奋剂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中心官网运动员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专区</w:t>
      </w:r>
    </w:p>
    <w:p w:rsidR="00E04642" w:rsidRDefault="00000000">
      <w:pPr>
        <w:rPr>
          <w:rFonts w:ascii="仿宋" w:eastAsia="仿宋" w:hAnsi="仿宋" w:cs="仿宋" w:hint="eastAsia"/>
          <w:sz w:val="28"/>
          <w:szCs w:val="28"/>
        </w:rPr>
      </w:pPr>
      <w:hyperlink r:id="rId10" w:history="1">
        <w:r>
          <w:rPr>
            <w:rStyle w:val="a5"/>
            <w:rFonts w:ascii="仿宋" w:eastAsia="仿宋" w:hAnsi="仿宋" w:cs="仿宋" w:hint="eastAsia"/>
            <w:sz w:val="28"/>
            <w:szCs w:val="28"/>
          </w:rPr>
          <w:t>https://www.chinada.cn/channels/player.html</w:t>
        </w:r>
      </w:hyperlink>
    </w:p>
    <w:p w:rsidR="00E04642" w:rsidRDefault="00000000">
      <w:p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656080" cy="1666240"/>
            <wp:effectExtent l="0" t="0" r="7620" b="101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642" w:rsidRDefault="00000000">
      <w:pPr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二、中国反兴奋剂中心安全用药查询系统</w:t>
      </w:r>
    </w:p>
    <w:p w:rsidR="00E04642" w:rsidRDefault="00000000">
      <w:pPr>
        <w:rPr>
          <w:rFonts w:ascii="仿宋" w:eastAsia="仿宋" w:hAnsi="仿宋" w:cs="仿宋" w:hint="eastAsia"/>
          <w:b/>
          <w:bCs/>
          <w:sz w:val="28"/>
          <w:szCs w:val="28"/>
        </w:rPr>
      </w:pPr>
      <w:hyperlink r:id="rId12" w:history="1">
        <w:r>
          <w:rPr>
            <w:rStyle w:val="a5"/>
            <w:rFonts w:ascii="仿宋" w:eastAsia="仿宋" w:hAnsi="仿宋" w:cs="仿宋" w:hint="eastAsia"/>
            <w:b/>
            <w:bCs/>
            <w:sz w:val="28"/>
            <w:szCs w:val="28"/>
          </w:rPr>
          <w:t>http://yycx.chinada.cn/</w:t>
        </w:r>
      </w:hyperlink>
    </w:p>
    <w:p w:rsidR="00E04642" w:rsidRDefault="00000000">
      <w:pPr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669415" cy="1669415"/>
            <wp:effectExtent l="0" t="0" r="6985" b="698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04642" w:rsidRDefault="00000000">
      <w:pPr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三、中国反兴奋剂中心举报平台</w:t>
      </w:r>
    </w:p>
    <w:p w:rsidR="00E04642" w:rsidRDefault="00000000">
      <w:pPr>
        <w:rPr>
          <w:rFonts w:ascii="仿宋" w:eastAsia="仿宋" w:hAnsi="仿宋" w:cs="仿宋" w:hint="eastAsia"/>
          <w:b/>
          <w:bCs/>
          <w:sz w:val="28"/>
          <w:szCs w:val="28"/>
        </w:rPr>
      </w:pPr>
      <w:hyperlink r:id="rId14" w:history="1">
        <w:r>
          <w:rPr>
            <w:rStyle w:val="a5"/>
            <w:rFonts w:ascii="仿宋" w:eastAsia="仿宋" w:hAnsi="仿宋" w:cs="仿宋" w:hint="eastAsia"/>
            <w:b/>
            <w:bCs/>
            <w:sz w:val="28"/>
            <w:szCs w:val="28"/>
          </w:rPr>
          <w:t>https://www.chinada.cn/contents/6/5950.html</w:t>
        </w:r>
      </w:hyperlink>
    </w:p>
    <w:p w:rsidR="00E04642" w:rsidRDefault="00000000">
      <w:pPr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463675" cy="14636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04642" w:rsidRDefault="00000000">
      <w:pPr>
        <w:rPr>
          <w:rFonts w:ascii="仿宋" w:eastAsia="仿宋" w:hAnsi="仿宋" w:cs="仿宋" w:hint="eastAsia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四、“干净跑道”中国田径协会反兴奋剂工作指导手册</w:t>
      </w:r>
    </w:p>
    <w:p w:rsidR="00E04642" w:rsidRDefault="00000000">
      <w:pPr>
        <w:widowControl/>
        <w:spacing w:before="168" w:line="21" w:lineRule="atLeast"/>
        <w:rPr>
          <w:rFonts w:ascii="仿宋" w:eastAsia="仿宋" w:hAnsi="仿宋" w:cs="仿宋" w:hint="eastAsia"/>
          <w:sz w:val="32"/>
          <w:szCs w:val="32"/>
        </w:rPr>
      </w:pPr>
      <w:hyperlink r:id="rId16" w:history="1">
        <w:r>
          <w:rPr>
            <w:rStyle w:val="a5"/>
            <w:rFonts w:ascii="仿宋" w:eastAsia="仿宋" w:hAnsi="仿宋" w:cs="仿宋" w:hint="eastAsia"/>
            <w:sz w:val="32"/>
            <w:szCs w:val="32"/>
          </w:rPr>
          <w:t>https://www.athletics.org.cn/anti-doping/zcfg/2023/0327/564396.html</w:t>
        </w:r>
      </w:hyperlink>
    </w:p>
    <w:p w:rsidR="00E04642" w:rsidRDefault="00000000">
      <w:pPr>
        <w:widowControl/>
        <w:spacing w:before="168" w:line="21" w:lineRule="atLeast"/>
        <w:rPr>
          <w:rFonts w:ascii="仿宋" w:eastAsia="仿宋" w:hAnsi="仿宋" w:cs="仿宋" w:hint="eastAsia"/>
          <w:sz w:val="32"/>
          <w:szCs w:val="32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643380" cy="1643380"/>
            <wp:effectExtent l="0" t="0" r="7620" b="762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04642" w:rsidRDefault="00E04642">
      <w:pPr>
        <w:rPr>
          <w:rFonts w:ascii="仿宋" w:eastAsia="仿宋" w:hAnsi="仿宋" w:cs="仿宋" w:hint="eastAsia"/>
          <w:sz w:val="32"/>
          <w:szCs w:val="32"/>
        </w:rPr>
      </w:pPr>
    </w:p>
    <w:sectPr w:rsidR="00E046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E7EBF" w:rsidRDefault="007E7EBF" w:rsidP="00CB1E5C">
      <w:r>
        <w:separator/>
      </w:r>
    </w:p>
  </w:endnote>
  <w:endnote w:type="continuationSeparator" w:id="0">
    <w:p w:rsidR="007E7EBF" w:rsidRDefault="007E7EBF" w:rsidP="00CB1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E7EBF" w:rsidRDefault="007E7EBF" w:rsidP="00CB1E5C">
      <w:r>
        <w:separator/>
      </w:r>
    </w:p>
  </w:footnote>
  <w:footnote w:type="continuationSeparator" w:id="0">
    <w:p w:rsidR="007E7EBF" w:rsidRDefault="007E7EBF" w:rsidP="00CB1E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hiY2NmNzUxZjY0MmM3ODBmZmZjM2U5YmRhYjQ5ZTEifQ=="/>
  </w:docVars>
  <w:rsids>
    <w:rsidRoot w:val="165A0027"/>
    <w:rsid w:val="007E7EBF"/>
    <w:rsid w:val="00A74831"/>
    <w:rsid w:val="00B5765C"/>
    <w:rsid w:val="00CB1E5C"/>
    <w:rsid w:val="00D41E4E"/>
    <w:rsid w:val="00E04642"/>
    <w:rsid w:val="00F30EDB"/>
    <w:rsid w:val="088272FC"/>
    <w:rsid w:val="0E777553"/>
    <w:rsid w:val="165A0027"/>
    <w:rsid w:val="190A3122"/>
    <w:rsid w:val="230A1092"/>
    <w:rsid w:val="264A63F5"/>
    <w:rsid w:val="26A71D48"/>
    <w:rsid w:val="27ED433A"/>
    <w:rsid w:val="3C047A4D"/>
    <w:rsid w:val="3C8B3CCA"/>
    <w:rsid w:val="3E8F7AA2"/>
    <w:rsid w:val="41984B5F"/>
    <w:rsid w:val="50F04F55"/>
    <w:rsid w:val="55842E7F"/>
    <w:rsid w:val="749A44CF"/>
    <w:rsid w:val="7DD603C6"/>
    <w:rsid w:val="7F19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989450"/>
  <w15:docId w15:val="{7EED0752-391A-44F6-88D9-CB43B2C56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rPr>
      <w:sz w:val="24"/>
    </w:rPr>
  </w:style>
  <w:style w:type="character" w:styleId="a4">
    <w:name w:val="Strong"/>
    <w:basedOn w:val="a0"/>
    <w:autoRedefine/>
    <w:qFormat/>
    <w:rPr>
      <w:b/>
    </w:rPr>
  </w:style>
  <w:style w:type="character" w:styleId="a5">
    <w:name w:val="Hyperlink"/>
    <w:basedOn w:val="a0"/>
    <w:autoRedefine/>
    <w:qFormat/>
    <w:rPr>
      <w:color w:val="0000FF"/>
      <w:u w:val="single"/>
    </w:rPr>
  </w:style>
  <w:style w:type="paragraph" w:styleId="a6">
    <w:name w:val="header"/>
    <w:basedOn w:val="a"/>
    <w:link w:val="a7"/>
    <w:rsid w:val="00CB1E5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CB1E5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CB1E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CB1E5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CB1E5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yycx.chinada.cn/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athletics.org.cn/anti-doping/zcfg/2023/0327/564396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www.chinada.cn/channels/player.html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chinada.cn/contents/6/5950.html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11</Pages>
  <Words>278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Feeling1397011621</dc:creator>
  <cp:lastModifiedBy>xueandi@chinaath.com</cp:lastModifiedBy>
  <cp:revision>3</cp:revision>
  <dcterms:created xsi:type="dcterms:W3CDTF">2024-03-20T02:49:00Z</dcterms:created>
  <dcterms:modified xsi:type="dcterms:W3CDTF">2024-09-03T02:13:00Z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97CE598E46554498A0D7D10F5687C1C1_13</vt:lpwstr>
  </property>
</Properties>
</file>